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61" w:rsidRPr="0087160B" w:rsidRDefault="005B10C5" w:rsidP="005B10C5">
      <w:pPr>
        <w:widowControl/>
        <w:spacing w:before="150" w:after="150"/>
        <w:contextualSpacing/>
        <w:jc w:val="center"/>
        <w:outlineLvl w:val="1"/>
        <w:rPr>
          <w:rFonts w:ascii="宋体" w:eastAsia="宋体" w:hAnsi="宋体" w:cs="宋体"/>
          <w:b/>
          <w:bCs/>
          <w:color w:val="000000" w:themeColor="text1"/>
          <w:kern w:val="36"/>
          <w:sz w:val="36"/>
          <w:szCs w:val="36"/>
        </w:rPr>
      </w:pPr>
      <w:r w:rsidRPr="0087160B">
        <w:rPr>
          <w:rFonts w:ascii="宋体" w:eastAsia="宋体" w:hAnsi="宋体" w:cs="宋体"/>
          <w:b/>
          <w:bCs/>
          <w:color w:val="000000" w:themeColor="text1"/>
          <w:kern w:val="36"/>
          <w:sz w:val="36"/>
          <w:szCs w:val="36"/>
        </w:rPr>
        <w:t>重庆大学实验室化学危险品事故应急处置预案</w:t>
      </w:r>
    </w:p>
    <w:p w:rsidR="00096461" w:rsidRPr="005B10C5" w:rsidRDefault="00096461" w:rsidP="005B10C5">
      <w:pPr>
        <w:widowControl/>
        <w:contextualSpacing/>
        <w:jc w:val="center"/>
        <w:rPr>
          <w:rFonts w:ascii="宋体" w:eastAsia="宋体" w:hAnsi="宋体" w:cs="宋体"/>
          <w:color w:val="000000" w:themeColor="text1"/>
          <w:kern w:val="0"/>
          <w:sz w:val="18"/>
          <w:szCs w:val="18"/>
        </w:rPr>
      </w:pPr>
      <w:r w:rsidRPr="005B10C5">
        <w:rPr>
          <w:rFonts w:ascii="宋体" w:eastAsia="宋体" w:hAnsi="宋体" w:cs="宋体"/>
          <w:color w:val="000000" w:themeColor="text1"/>
          <w:kern w:val="0"/>
          <w:sz w:val="27"/>
          <w:szCs w:val="27"/>
        </w:rPr>
        <w:t>重大校〔2009〕214号</w:t>
      </w:r>
    </w:p>
    <w:p w:rsidR="00096461" w:rsidRPr="005B10C5" w:rsidRDefault="00096461" w:rsidP="005B10C5">
      <w:pPr>
        <w:widowControl/>
        <w:spacing w:before="150" w:after="100" w:afterAutospacing="1"/>
        <w:ind w:firstLine="723"/>
        <w:contextualSpacing/>
        <w:rPr>
          <w:rFonts w:ascii="宋体" w:eastAsia="宋体" w:hAnsi="宋体" w:cs="宋体"/>
          <w:color w:val="000000" w:themeColor="text1"/>
          <w:kern w:val="0"/>
          <w:szCs w:val="21"/>
        </w:rPr>
      </w:pPr>
      <w:r w:rsidRPr="005B10C5">
        <w:rPr>
          <w:rFonts w:ascii="宋体" w:eastAsia="宋体" w:hAnsi="宋体" w:cs="宋体"/>
          <w:b/>
          <w:bCs/>
          <w:color w:val="000000" w:themeColor="text1"/>
          <w:kern w:val="0"/>
          <w:szCs w:val="21"/>
        </w:rPr>
        <w:t> </w:t>
      </w:r>
      <w:r w:rsidRPr="005B10C5">
        <w:rPr>
          <w:rFonts w:ascii="宋体" w:eastAsia="宋体" w:hAnsi="宋体" w:cs="宋体" w:hint="eastAsia"/>
          <w:color w:val="000000" w:themeColor="text1"/>
          <w:kern w:val="0"/>
          <w:sz w:val="24"/>
          <w:szCs w:val="24"/>
        </w:rPr>
        <w:t>为了做好学校化学危险品、易燃易</w:t>
      </w:r>
      <w:bookmarkStart w:id="0" w:name="_GoBack"/>
      <w:bookmarkEnd w:id="0"/>
      <w:r w:rsidRPr="005B10C5">
        <w:rPr>
          <w:rFonts w:ascii="宋体" w:eastAsia="宋体" w:hAnsi="宋体" w:cs="宋体" w:hint="eastAsia"/>
          <w:color w:val="000000" w:themeColor="text1"/>
          <w:kern w:val="0"/>
          <w:sz w:val="24"/>
          <w:szCs w:val="24"/>
        </w:rPr>
        <w:t>爆物品事故的预防和应急救援工作，保证在事故发生后，尽快组织实施救援，最大限度地减少人员伤亡和财产损失，保障广大师生员工的身体健康和生命财产安全。根据中华人民共和国《危险化学品安全管理条例》及其他有关法律、法规的规定，结合重庆大学的实际情况，特制定本应急处置预案。</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一、重庆大学化学危险品、易燃易爆物品事故应急处置由学校化学危险品与放射源管理领导小组和学校保卫处负责组织实施。</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各二级单位安全责任人负责组织本单位化学危险品、易燃易爆物品事故应急处置工作，制定本单位化学危险品、易燃易爆物品事故应急处置预案，并积极协助上级部门做好事故应急处理工作。</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二、重庆大学化学危险品与放射源管理工作小组组织宣传、贯彻国家有关应急工作的方针、政策，负责组织应急准备工作，参加重庆市公安局等相关单位举办的应急人员培训和应急演练。</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三、如发生化学危险品、易燃易爆物品安全事故，各二级单位要及时向学校保卫处和学校化学危险品与放射源管理领导小组报告；学校化学危险品与放射源管理领导小组组织并实施化学危险品、易燃易爆物品事故应急救援预案，并及时向重庆市公安机关、环保部门等有关单位如实报告化学危险品、易燃易爆物品安全事故情况。</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四、接到使用单位发生化学危险品、易燃易爆物品事故通知，学校化学危险品与放射源管理领导小组、工作小组和学校保卫处应迅速赶到事故现场组织实施救援工作。根据事故大小情况，采取相应措施，迅速控制危险源，防止事故的蔓延和扩大。对造成人员伤亡的，要立即组织营救受害人员，组织撤离、疏散或者采取其他措施保护危害区域内的其他人员。</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五、组织相关专业技术人员，对化学危险品、易燃易爆物品造成的危害进行检验、监测，测定化学危险品、易燃易爆物品性质及危害程度以及对环境的影响。针对事故对人体、动植物、土壤、水源、空气造成的现实危害和可能产生的危害，迅速采取封闭、隔离、清洗、消毒等措施。</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六、发生化学危险品、易燃易爆物品安全事故后，学校保卫部门应立即保护事故现场，维持现场秩序，防止发生其他安全事故。</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七、重庆大学化学危险品与放射源管理工作小组对化学危险品、易燃易爆物品安全事故发生原因及处理情况，向上级有关部门写出书面报告。</w:t>
      </w:r>
    </w:p>
    <w:p w:rsidR="00096461" w:rsidRPr="005B10C5" w:rsidRDefault="00096461" w:rsidP="005B10C5">
      <w:pPr>
        <w:widowControl/>
        <w:spacing w:before="150" w:after="100" w:afterAutospacing="1"/>
        <w:ind w:firstLine="48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八、发生化学危险品、易燃易爆物品丢失、被盗事故时，应当保护好现场，重庆大学化学危险品与放射源管理领导小组、工作小组以及使用单位，应积极配合公安机关进行调查、侦破。</w:t>
      </w:r>
    </w:p>
    <w:p w:rsidR="00096461" w:rsidRPr="005B10C5" w:rsidRDefault="00096461" w:rsidP="005B10C5">
      <w:pPr>
        <w:widowControl/>
        <w:spacing w:before="150" w:after="100" w:afterAutospacing="1"/>
        <w:contextualSpacing/>
        <w:rPr>
          <w:rFonts w:ascii="宋体" w:eastAsia="宋体" w:hAnsi="宋体" w:cs="宋体"/>
          <w:color w:val="000000" w:themeColor="text1"/>
          <w:kern w:val="0"/>
          <w:szCs w:val="21"/>
        </w:rPr>
      </w:pPr>
      <w:r w:rsidRPr="005B10C5">
        <w:rPr>
          <w:rFonts w:ascii="宋体" w:eastAsia="宋体" w:hAnsi="宋体" w:cs="宋体"/>
          <w:color w:val="000000" w:themeColor="text1"/>
          <w:kern w:val="0"/>
          <w:szCs w:val="21"/>
        </w:rPr>
        <w:t> </w:t>
      </w:r>
    </w:p>
    <w:p w:rsidR="00096461" w:rsidRPr="005B10C5" w:rsidRDefault="00096461" w:rsidP="005B10C5">
      <w:pPr>
        <w:widowControl/>
        <w:spacing w:before="150" w:after="100" w:afterAutospacing="1"/>
        <w:contextualSpacing/>
        <w:rPr>
          <w:rFonts w:ascii="宋体" w:eastAsia="宋体" w:hAnsi="宋体" w:cs="宋体"/>
          <w:color w:val="000000" w:themeColor="text1"/>
          <w:kern w:val="0"/>
          <w:szCs w:val="21"/>
        </w:rPr>
      </w:pPr>
      <w:r w:rsidRPr="005B10C5">
        <w:rPr>
          <w:rFonts w:ascii="宋体" w:eastAsia="宋体" w:hAnsi="宋体" w:cs="宋体"/>
          <w:color w:val="000000" w:themeColor="text1"/>
          <w:kern w:val="0"/>
          <w:szCs w:val="21"/>
        </w:rPr>
        <w:t> </w:t>
      </w:r>
    </w:p>
    <w:p w:rsidR="00096461" w:rsidRPr="005B10C5" w:rsidRDefault="00096461" w:rsidP="005B10C5">
      <w:pPr>
        <w:widowControl/>
        <w:spacing w:before="150" w:after="100" w:afterAutospacing="1"/>
        <w:ind w:firstLine="5400"/>
        <w:contextualSpacing/>
        <w:rPr>
          <w:rFonts w:ascii="宋体" w:eastAsia="宋体" w:hAnsi="宋体" w:cs="宋体"/>
          <w:color w:val="000000" w:themeColor="text1"/>
          <w:kern w:val="0"/>
          <w:szCs w:val="21"/>
        </w:rPr>
      </w:pPr>
      <w:r w:rsidRPr="005B10C5">
        <w:rPr>
          <w:rFonts w:ascii="宋体" w:eastAsia="宋体" w:hAnsi="宋体" w:cs="宋体" w:hint="eastAsia"/>
          <w:color w:val="000000" w:themeColor="text1"/>
          <w:kern w:val="0"/>
          <w:sz w:val="24"/>
          <w:szCs w:val="24"/>
        </w:rPr>
        <w:t>重庆大学</w:t>
      </w:r>
    </w:p>
    <w:p w:rsidR="00096461" w:rsidRPr="005B10C5" w:rsidRDefault="00096461" w:rsidP="005B10C5">
      <w:pPr>
        <w:widowControl/>
        <w:spacing w:before="150" w:afterAutospacing="1"/>
        <w:ind w:firstLine="5040"/>
        <w:contextualSpacing/>
        <w:rPr>
          <w:rFonts w:ascii="宋体" w:eastAsia="宋体" w:hAnsi="宋体" w:cs="宋体"/>
          <w:color w:val="000000" w:themeColor="text1"/>
          <w:kern w:val="0"/>
          <w:szCs w:val="21"/>
        </w:rPr>
      </w:pPr>
      <w:r w:rsidRPr="005B10C5">
        <w:rPr>
          <w:rFonts w:ascii="宋体" w:eastAsia="宋体" w:hAnsi="宋体" w:cs="宋体"/>
          <w:color w:val="000000" w:themeColor="text1"/>
          <w:kern w:val="0"/>
          <w:sz w:val="24"/>
          <w:szCs w:val="24"/>
        </w:rPr>
        <w:t>2009</w:t>
      </w:r>
      <w:r w:rsidRPr="005B10C5">
        <w:rPr>
          <w:rFonts w:ascii="宋体" w:eastAsia="宋体" w:hAnsi="宋体" w:cs="宋体" w:hint="eastAsia"/>
          <w:color w:val="000000" w:themeColor="text1"/>
          <w:kern w:val="0"/>
          <w:sz w:val="24"/>
          <w:szCs w:val="24"/>
        </w:rPr>
        <w:t>年</w:t>
      </w:r>
      <w:r w:rsidRPr="005B10C5">
        <w:rPr>
          <w:rFonts w:ascii="宋体" w:eastAsia="宋体" w:hAnsi="宋体" w:cs="宋体"/>
          <w:color w:val="000000" w:themeColor="text1"/>
          <w:kern w:val="0"/>
          <w:sz w:val="24"/>
          <w:szCs w:val="24"/>
        </w:rPr>
        <w:t>5</w:t>
      </w:r>
      <w:r w:rsidRPr="005B10C5">
        <w:rPr>
          <w:rFonts w:ascii="宋体" w:eastAsia="宋体" w:hAnsi="宋体" w:cs="宋体" w:hint="eastAsia"/>
          <w:color w:val="000000" w:themeColor="text1"/>
          <w:kern w:val="0"/>
          <w:sz w:val="24"/>
          <w:szCs w:val="24"/>
        </w:rPr>
        <w:t>月</w:t>
      </w:r>
      <w:r w:rsidRPr="005B10C5">
        <w:rPr>
          <w:rFonts w:ascii="宋体" w:eastAsia="宋体" w:hAnsi="宋体" w:cs="宋体"/>
          <w:color w:val="000000" w:themeColor="text1"/>
          <w:kern w:val="0"/>
          <w:sz w:val="24"/>
          <w:szCs w:val="24"/>
        </w:rPr>
        <w:t>6</w:t>
      </w:r>
      <w:r w:rsidRPr="005B10C5">
        <w:rPr>
          <w:rFonts w:ascii="宋体" w:eastAsia="宋体" w:hAnsi="宋体" w:cs="宋体" w:hint="eastAsia"/>
          <w:color w:val="000000" w:themeColor="text1"/>
          <w:kern w:val="0"/>
          <w:sz w:val="24"/>
          <w:szCs w:val="24"/>
        </w:rPr>
        <w:t>日</w:t>
      </w:r>
    </w:p>
    <w:p w:rsidR="00096461" w:rsidRPr="005B10C5" w:rsidRDefault="00096461" w:rsidP="005B10C5">
      <w:pPr>
        <w:widowControl/>
        <w:contextualSpacing/>
        <w:rPr>
          <w:rFonts w:ascii="宋体" w:eastAsia="宋体" w:hAnsi="宋体" w:cs="宋体"/>
          <w:color w:val="000000" w:themeColor="text1"/>
          <w:kern w:val="0"/>
          <w:szCs w:val="21"/>
        </w:rPr>
      </w:pPr>
    </w:p>
    <w:p w:rsidR="00A010EE" w:rsidRPr="005B10C5" w:rsidRDefault="00A010EE" w:rsidP="005B10C5">
      <w:pPr>
        <w:contextualSpacing/>
        <w:rPr>
          <w:color w:val="000000" w:themeColor="text1"/>
        </w:rPr>
      </w:pPr>
    </w:p>
    <w:sectPr w:rsidR="00A010EE" w:rsidRPr="005B10C5" w:rsidSect="005B10C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F2" w:rsidRDefault="008811F2" w:rsidP="005B10C5">
      <w:r>
        <w:separator/>
      </w:r>
    </w:p>
  </w:endnote>
  <w:endnote w:type="continuationSeparator" w:id="0">
    <w:p w:rsidR="008811F2" w:rsidRDefault="008811F2" w:rsidP="005B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F2" w:rsidRDefault="008811F2" w:rsidP="005B10C5">
      <w:r>
        <w:separator/>
      </w:r>
    </w:p>
  </w:footnote>
  <w:footnote w:type="continuationSeparator" w:id="0">
    <w:p w:rsidR="008811F2" w:rsidRDefault="008811F2" w:rsidP="005B1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61"/>
    <w:rsid w:val="00096461"/>
    <w:rsid w:val="001318C8"/>
    <w:rsid w:val="005B10C5"/>
    <w:rsid w:val="0087160B"/>
    <w:rsid w:val="008811F2"/>
    <w:rsid w:val="00A01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CC1C5-F0A4-4679-A0CE-8D54FF7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1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10C5"/>
    <w:rPr>
      <w:sz w:val="18"/>
      <w:szCs w:val="18"/>
    </w:rPr>
  </w:style>
  <w:style w:type="paragraph" w:styleId="a4">
    <w:name w:val="footer"/>
    <w:basedOn w:val="a"/>
    <w:link w:val="Char0"/>
    <w:uiPriority w:val="99"/>
    <w:unhideWhenUsed/>
    <w:rsid w:val="005B10C5"/>
    <w:pPr>
      <w:tabs>
        <w:tab w:val="center" w:pos="4153"/>
        <w:tab w:val="right" w:pos="8306"/>
      </w:tabs>
      <w:snapToGrid w:val="0"/>
      <w:jc w:val="left"/>
    </w:pPr>
    <w:rPr>
      <w:sz w:val="18"/>
      <w:szCs w:val="18"/>
    </w:rPr>
  </w:style>
  <w:style w:type="character" w:customStyle="1" w:styleId="Char0">
    <w:name w:val="页脚 Char"/>
    <w:basedOn w:val="a0"/>
    <w:link w:val="a4"/>
    <w:uiPriority w:val="99"/>
    <w:rsid w:val="005B10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5285">
      <w:bodyDiv w:val="1"/>
      <w:marLeft w:val="0"/>
      <w:marRight w:val="0"/>
      <w:marTop w:val="0"/>
      <w:marBottom w:val="0"/>
      <w:divBdr>
        <w:top w:val="none" w:sz="0" w:space="0" w:color="auto"/>
        <w:left w:val="none" w:sz="0" w:space="0" w:color="auto"/>
        <w:bottom w:val="none" w:sz="0" w:space="0" w:color="auto"/>
        <w:right w:val="none" w:sz="0" w:space="0" w:color="auto"/>
      </w:divBdr>
      <w:divsChild>
        <w:div w:id="1366444703">
          <w:marLeft w:val="0"/>
          <w:marRight w:val="0"/>
          <w:marTop w:val="0"/>
          <w:marBottom w:val="0"/>
          <w:divBdr>
            <w:top w:val="none" w:sz="0" w:space="0" w:color="auto"/>
            <w:left w:val="none" w:sz="0" w:space="0" w:color="auto"/>
            <w:bottom w:val="none" w:sz="0" w:space="0" w:color="auto"/>
            <w:right w:val="none" w:sz="0" w:space="0" w:color="auto"/>
          </w:divBdr>
          <w:divsChild>
            <w:div w:id="1657370714">
              <w:marLeft w:val="0"/>
              <w:marRight w:val="0"/>
              <w:marTop w:val="0"/>
              <w:marBottom w:val="0"/>
              <w:divBdr>
                <w:top w:val="none" w:sz="0" w:space="0" w:color="auto"/>
                <w:left w:val="none" w:sz="0" w:space="0" w:color="auto"/>
                <w:bottom w:val="none" w:sz="0" w:space="0" w:color="auto"/>
                <w:right w:val="none" w:sz="0" w:space="0" w:color="auto"/>
              </w:divBdr>
              <w:divsChild>
                <w:div w:id="1853567242">
                  <w:marLeft w:val="0"/>
                  <w:marRight w:val="0"/>
                  <w:marTop w:val="0"/>
                  <w:marBottom w:val="0"/>
                  <w:divBdr>
                    <w:top w:val="none" w:sz="0" w:space="0" w:color="auto"/>
                    <w:left w:val="none" w:sz="0" w:space="0" w:color="auto"/>
                    <w:bottom w:val="none" w:sz="0" w:space="0" w:color="auto"/>
                    <w:right w:val="none" w:sz="0" w:space="0" w:color="auto"/>
                  </w:divBdr>
                  <w:divsChild>
                    <w:div w:id="1797723514">
                      <w:marLeft w:val="0"/>
                      <w:marRight w:val="0"/>
                      <w:marTop w:val="0"/>
                      <w:marBottom w:val="0"/>
                      <w:divBdr>
                        <w:top w:val="none" w:sz="0" w:space="0" w:color="auto"/>
                        <w:left w:val="none" w:sz="0" w:space="0" w:color="auto"/>
                        <w:bottom w:val="none" w:sz="0" w:space="0" w:color="auto"/>
                        <w:right w:val="none" w:sz="0" w:space="0" w:color="auto"/>
                      </w:divBdr>
                      <w:divsChild>
                        <w:div w:id="817848138">
                          <w:marLeft w:val="0"/>
                          <w:marRight w:val="0"/>
                          <w:marTop w:val="0"/>
                          <w:marBottom w:val="0"/>
                          <w:divBdr>
                            <w:top w:val="none" w:sz="0" w:space="0" w:color="auto"/>
                            <w:left w:val="none" w:sz="0" w:space="0" w:color="auto"/>
                            <w:bottom w:val="none" w:sz="0" w:space="0" w:color="auto"/>
                            <w:right w:val="none" w:sz="0" w:space="0" w:color="auto"/>
                          </w:divBdr>
                          <w:divsChild>
                            <w:div w:id="953438407">
                              <w:marLeft w:val="0"/>
                              <w:marRight w:val="0"/>
                              <w:marTop w:val="0"/>
                              <w:marBottom w:val="75"/>
                              <w:divBdr>
                                <w:top w:val="none" w:sz="0" w:space="0" w:color="auto"/>
                                <w:left w:val="none" w:sz="0" w:space="0" w:color="auto"/>
                                <w:bottom w:val="none" w:sz="0" w:space="0" w:color="auto"/>
                                <w:right w:val="none" w:sz="0" w:space="0" w:color="auto"/>
                              </w:divBdr>
                            </w:div>
                            <w:div w:id="291863448">
                              <w:marLeft w:val="0"/>
                              <w:marRight w:val="0"/>
                              <w:marTop w:val="0"/>
                              <w:marBottom w:val="0"/>
                              <w:divBdr>
                                <w:top w:val="none" w:sz="0" w:space="0" w:color="auto"/>
                                <w:left w:val="none" w:sz="0" w:space="0" w:color="auto"/>
                                <w:bottom w:val="none" w:sz="0" w:space="0" w:color="auto"/>
                                <w:right w:val="none" w:sz="0" w:space="0" w:color="auto"/>
                              </w:divBdr>
                            </w:div>
                          </w:divsChild>
                        </w:div>
                        <w:div w:id="562178460">
                          <w:marLeft w:val="0"/>
                          <w:marRight w:val="0"/>
                          <w:marTop w:val="0"/>
                          <w:marBottom w:val="0"/>
                          <w:divBdr>
                            <w:top w:val="none" w:sz="0" w:space="0" w:color="auto"/>
                            <w:left w:val="none" w:sz="0" w:space="0" w:color="auto"/>
                            <w:bottom w:val="none" w:sz="0" w:space="0" w:color="auto"/>
                            <w:right w:val="none" w:sz="0" w:space="0" w:color="auto"/>
                          </w:divBdr>
                          <w:divsChild>
                            <w:div w:id="1227490422">
                              <w:marLeft w:val="0"/>
                              <w:marRight w:val="0"/>
                              <w:marTop w:val="0"/>
                              <w:marBottom w:val="0"/>
                              <w:divBdr>
                                <w:top w:val="none" w:sz="0" w:space="0" w:color="auto"/>
                                <w:left w:val="none" w:sz="0" w:space="0" w:color="auto"/>
                                <w:bottom w:val="none" w:sz="0" w:space="0" w:color="auto"/>
                                <w:right w:val="none" w:sz="0" w:space="0" w:color="auto"/>
                              </w:divBdr>
                              <w:divsChild>
                                <w:div w:id="1155145196">
                                  <w:marLeft w:val="0"/>
                                  <w:marRight w:val="0"/>
                                  <w:marTop w:val="100"/>
                                  <w:marBottom w:val="100"/>
                                  <w:divBdr>
                                    <w:top w:val="none" w:sz="0" w:space="0" w:color="auto"/>
                                    <w:left w:val="none" w:sz="0" w:space="0" w:color="auto"/>
                                    <w:bottom w:val="none" w:sz="0" w:space="0" w:color="auto"/>
                                    <w:right w:val="none" w:sz="0" w:space="0" w:color="auto"/>
                                  </w:divBdr>
                                </w:div>
                                <w:div w:id="21463898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901</Characters>
  <Application>Microsoft Office Word</Application>
  <DocSecurity>0</DocSecurity>
  <Lines>7</Lines>
  <Paragraphs>2</Paragraphs>
  <ScaleCrop>false</ScaleCrop>
  <Company>Windows7-64 旗舰版</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2015-12-20T04:24:00Z</dcterms:created>
  <dcterms:modified xsi:type="dcterms:W3CDTF">2015-12-20T10:12:00Z</dcterms:modified>
</cp:coreProperties>
</file>