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CA" w:rsidRPr="004D3396" w:rsidRDefault="004D3396" w:rsidP="004D3396">
      <w:pPr>
        <w:widowControl/>
        <w:spacing w:before="150" w:after="150"/>
        <w:contextualSpacing/>
        <w:jc w:val="center"/>
        <w:outlineLvl w:val="1"/>
        <w:rPr>
          <w:rFonts w:ascii="宋体" w:eastAsia="宋体" w:hAnsi="宋体" w:cs="宋体" w:hint="eastAsia"/>
          <w:b/>
          <w:bCs/>
          <w:color w:val="000000" w:themeColor="text1"/>
          <w:kern w:val="36"/>
          <w:sz w:val="36"/>
          <w:szCs w:val="36"/>
        </w:rPr>
      </w:pPr>
      <w:r w:rsidRPr="004D3396">
        <w:rPr>
          <w:rFonts w:ascii="宋体" w:eastAsia="宋体" w:hAnsi="宋体" w:cs="宋体"/>
          <w:b/>
          <w:bCs/>
          <w:color w:val="000000" w:themeColor="text1"/>
          <w:kern w:val="36"/>
          <w:sz w:val="36"/>
          <w:szCs w:val="36"/>
        </w:rPr>
        <w:t>实验室化学固体废物处置安全规范</w:t>
      </w:r>
    </w:p>
    <w:p w:rsidR="00AB53CA" w:rsidRPr="004D3396" w:rsidRDefault="00AB53CA" w:rsidP="004D3396">
      <w:pPr>
        <w:widowControl/>
        <w:ind w:firstLineChars="200" w:firstLine="480"/>
        <w:contextualSpacing/>
        <w:rPr>
          <w:rFonts w:ascii="宋体" w:eastAsia="宋体" w:hAnsi="宋体" w:cs="宋体"/>
          <w:color w:val="000000" w:themeColor="text1"/>
          <w:kern w:val="0"/>
          <w:sz w:val="24"/>
          <w:szCs w:val="24"/>
        </w:rPr>
      </w:pPr>
      <w:r w:rsidRPr="004D3396">
        <w:rPr>
          <w:rFonts w:ascii="Calibri" w:eastAsia="宋体" w:hAnsi="Calibri" w:cs="宋体" w:hint="eastAsia"/>
          <w:color w:val="000000" w:themeColor="text1"/>
          <w:kern w:val="0"/>
          <w:sz w:val="24"/>
          <w:szCs w:val="24"/>
        </w:rPr>
        <w:t>本规范中的实验室化学固体废物是指在实验室所产生的各类危险化学固态废物，包括：</w:t>
      </w:r>
      <w:r w:rsidRPr="004D3396">
        <w:rPr>
          <w:rFonts w:ascii="Calibri" w:eastAsia="宋体" w:hAnsi="Calibri" w:cs="Calibri"/>
          <w:color w:val="000000" w:themeColor="text1"/>
          <w:kern w:val="0"/>
          <w:sz w:val="24"/>
          <w:szCs w:val="24"/>
        </w:rPr>
        <w:t>1</w:t>
      </w:r>
      <w:r w:rsidRPr="004D3396">
        <w:rPr>
          <w:rFonts w:ascii="Calibri" w:eastAsia="宋体" w:hAnsi="Calibri" w:cs="宋体" w:hint="eastAsia"/>
          <w:color w:val="000000" w:themeColor="text1"/>
          <w:kern w:val="0"/>
          <w:sz w:val="24"/>
          <w:szCs w:val="24"/>
        </w:rPr>
        <w:t>）固态、半固态的化学品和化学废物；</w:t>
      </w:r>
      <w:r w:rsidRPr="004D3396">
        <w:rPr>
          <w:rFonts w:ascii="Calibri" w:eastAsia="宋体" w:hAnsi="Calibri" w:cs="Calibri"/>
          <w:color w:val="000000" w:themeColor="text1"/>
          <w:kern w:val="0"/>
          <w:sz w:val="24"/>
          <w:szCs w:val="24"/>
        </w:rPr>
        <w:t>2</w:t>
      </w:r>
      <w:r w:rsidRPr="004D3396">
        <w:rPr>
          <w:rFonts w:ascii="Calibri" w:eastAsia="宋体" w:hAnsi="Calibri" w:cs="宋体" w:hint="eastAsia"/>
          <w:color w:val="000000" w:themeColor="text1"/>
          <w:kern w:val="0"/>
          <w:sz w:val="24"/>
          <w:szCs w:val="24"/>
        </w:rPr>
        <w:t>）原瓶存放的液态化学品；</w:t>
      </w:r>
      <w:r w:rsidRPr="004D3396">
        <w:rPr>
          <w:rFonts w:ascii="Calibri" w:eastAsia="宋体" w:hAnsi="Calibri" w:cs="Calibri"/>
          <w:color w:val="000000" w:themeColor="text1"/>
          <w:kern w:val="0"/>
          <w:sz w:val="24"/>
          <w:szCs w:val="24"/>
        </w:rPr>
        <w:t>3</w:t>
      </w:r>
      <w:r w:rsidRPr="004D3396">
        <w:rPr>
          <w:rFonts w:ascii="Calibri" w:eastAsia="宋体" w:hAnsi="Calibri" w:cs="宋体" w:hint="eastAsia"/>
          <w:color w:val="000000" w:themeColor="text1"/>
          <w:kern w:val="0"/>
          <w:sz w:val="24"/>
          <w:szCs w:val="24"/>
        </w:rPr>
        <w:t>）化学品的包装材料；</w:t>
      </w:r>
      <w:r w:rsidRPr="004D3396">
        <w:rPr>
          <w:rFonts w:ascii="Calibri" w:eastAsia="宋体" w:hAnsi="Calibri" w:cs="Calibri"/>
          <w:color w:val="000000" w:themeColor="text1"/>
          <w:kern w:val="0"/>
          <w:sz w:val="24"/>
          <w:szCs w:val="24"/>
        </w:rPr>
        <w:t>4</w:t>
      </w:r>
      <w:r w:rsidRPr="004D3396">
        <w:rPr>
          <w:rFonts w:ascii="Calibri" w:eastAsia="宋体" w:hAnsi="Calibri" w:cs="宋体" w:hint="eastAsia"/>
          <w:color w:val="000000" w:themeColor="text1"/>
          <w:kern w:val="0"/>
          <w:sz w:val="24"/>
          <w:szCs w:val="24"/>
        </w:rPr>
        <w:t>）废弃玻璃器皿。以下简称为固废。</w:t>
      </w:r>
    </w:p>
    <w:p w:rsidR="00AB53CA" w:rsidRPr="004D3396" w:rsidRDefault="00052EEC" w:rsidP="004D3396">
      <w:pPr>
        <w:widowControl/>
        <w:ind w:left="567" w:hanging="567"/>
        <w:contextualSpacing/>
        <w:rPr>
          <w:rFonts w:ascii="宋体" w:eastAsia="宋体" w:hAnsi="宋体" w:cs="宋体"/>
          <w:color w:val="000000" w:themeColor="text1"/>
          <w:kern w:val="0"/>
          <w:sz w:val="24"/>
          <w:szCs w:val="24"/>
        </w:rPr>
      </w:pPr>
      <w:r>
        <w:rPr>
          <w:rFonts w:ascii="Calibri" w:eastAsia="Calibri" w:hAnsi="Calibri" w:cs="Calibri"/>
          <w:b/>
          <w:color w:val="000000" w:themeColor="text1"/>
          <w:kern w:val="0"/>
          <w:sz w:val="24"/>
          <w:szCs w:val="24"/>
        </w:rPr>
        <w:t>1</w:t>
      </w:r>
      <w:r>
        <w:rPr>
          <w:rFonts w:ascii="Calibri" w:hAnsi="Calibri" w:cs="Calibri" w:hint="eastAsia"/>
          <w:b/>
          <w:color w:val="000000" w:themeColor="text1"/>
          <w:kern w:val="0"/>
          <w:sz w:val="24"/>
          <w:szCs w:val="24"/>
        </w:rPr>
        <w:t>、</w:t>
      </w:r>
      <w:r w:rsidR="00AB53CA" w:rsidRPr="004D3396">
        <w:rPr>
          <w:rFonts w:ascii="Times New Roman" w:eastAsia="Calibri" w:hAnsi="Times New Roman" w:cs="Times New Roman"/>
          <w:b/>
          <w:color w:val="000000" w:themeColor="text1"/>
          <w:kern w:val="0"/>
          <w:sz w:val="24"/>
          <w:szCs w:val="24"/>
        </w:rPr>
        <w:t xml:space="preserve"> </w:t>
      </w:r>
      <w:r w:rsidR="00AB53CA" w:rsidRPr="004D3396">
        <w:rPr>
          <w:rFonts w:ascii="Calibri" w:eastAsia="宋体" w:hAnsi="Calibri" w:cs="宋体" w:hint="eastAsia"/>
          <w:b/>
          <w:color w:val="000000" w:themeColor="text1"/>
          <w:kern w:val="0"/>
          <w:sz w:val="24"/>
          <w:szCs w:val="24"/>
        </w:rPr>
        <w:t>固废的包装材料</w:t>
      </w:r>
    </w:p>
    <w:p w:rsidR="00AB53CA" w:rsidRPr="004D3396" w:rsidRDefault="00AB53CA" w:rsidP="004D3396">
      <w:pPr>
        <w:widowControl/>
        <w:ind w:leftChars="180" w:left="378"/>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1</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实验室自行准备大小合适、中等强度的包装材料（如纸箱、编织袋等）。</w:t>
      </w:r>
    </w:p>
    <w:p w:rsidR="00AB53CA" w:rsidRPr="004D3396" w:rsidRDefault="00AB53CA" w:rsidP="004D3396">
      <w:pPr>
        <w:widowControl/>
        <w:ind w:leftChars="180" w:left="378"/>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2</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包装材料要求完好、结实、牢固；</w:t>
      </w:r>
      <w:r w:rsidRPr="004D3396">
        <w:rPr>
          <w:rFonts w:ascii="Calibri" w:eastAsia="宋体" w:hAnsi="Calibri" w:cs="Times New Roman" w:hint="eastAsia"/>
          <w:color w:val="000000" w:themeColor="text1"/>
          <w:sz w:val="24"/>
          <w:szCs w:val="24"/>
        </w:rPr>
        <w:t>纸箱要求底部用宽胶带加固</w:t>
      </w:r>
      <w:r w:rsidRPr="004D3396">
        <w:rPr>
          <w:rFonts w:ascii="Calibri" w:eastAsia="宋体" w:hAnsi="Calibri" w:cs="宋体" w:hint="eastAsia"/>
          <w:color w:val="000000" w:themeColor="text1"/>
          <w:kern w:val="0"/>
          <w:sz w:val="24"/>
          <w:szCs w:val="24"/>
        </w:rPr>
        <w:t>。</w:t>
      </w:r>
    </w:p>
    <w:p w:rsidR="00AB53CA" w:rsidRPr="004D3396" w:rsidRDefault="00052EEC" w:rsidP="004D3396">
      <w:pPr>
        <w:widowControl/>
        <w:ind w:left="567" w:hanging="567"/>
        <w:contextualSpacing/>
        <w:rPr>
          <w:rFonts w:ascii="宋体" w:eastAsia="宋体" w:hAnsi="宋体" w:cs="宋体"/>
          <w:color w:val="000000" w:themeColor="text1"/>
          <w:kern w:val="0"/>
          <w:sz w:val="24"/>
          <w:szCs w:val="24"/>
        </w:rPr>
      </w:pPr>
      <w:r>
        <w:rPr>
          <w:rFonts w:ascii="Calibri" w:eastAsia="Calibri" w:hAnsi="Calibri" w:cs="Calibri"/>
          <w:b/>
          <w:color w:val="000000" w:themeColor="text1"/>
          <w:kern w:val="0"/>
          <w:sz w:val="24"/>
          <w:szCs w:val="24"/>
        </w:rPr>
        <w:t>2</w:t>
      </w:r>
      <w:r>
        <w:rPr>
          <w:rFonts w:ascii="Calibri" w:hAnsi="Calibri" w:cs="Calibri" w:hint="eastAsia"/>
          <w:b/>
          <w:color w:val="000000" w:themeColor="text1"/>
          <w:kern w:val="0"/>
          <w:sz w:val="24"/>
          <w:szCs w:val="24"/>
        </w:rPr>
        <w:t>、</w:t>
      </w:r>
      <w:r w:rsidR="00AB53CA" w:rsidRPr="004D3396">
        <w:rPr>
          <w:rFonts w:ascii="Calibri" w:eastAsia="宋体" w:hAnsi="Calibri" w:cs="宋体" w:hint="eastAsia"/>
          <w:b/>
          <w:color w:val="000000" w:themeColor="text1"/>
          <w:kern w:val="0"/>
          <w:sz w:val="24"/>
          <w:szCs w:val="24"/>
        </w:rPr>
        <w:t>包装贴标</w:t>
      </w:r>
    </w:p>
    <w:p w:rsidR="00AB53CA" w:rsidRPr="004D3396" w:rsidRDefault="00AB53CA" w:rsidP="004D3396">
      <w:pPr>
        <w:widowControl/>
        <w:ind w:left="720" w:hanging="36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1</w:t>
      </w:r>
      <w:r w:rsidRPr="004D3396">
        <w:rPr>
          <w:rFonts w:ascii="微软雅黑" w:eastAsia="微软雅黑" w:hAnsi="微软雅黑" w:cs="微软雅黑" w:hint="eastAsia"/>
          <w:color w:val="000000" w:themeColor="text1"/>
          <w:kern w:val="0"/>
          <w:sz w:val="24"/>
          <w:szCs w:val="24"/>
        </w:rPr>
        <w:t>）</w:t>
      </w:r>
      <w:r w:rsidRPr="004D3396">
        <w:rPr>
          <w:rFonts w:ascii="Calibri" w:eastAsia="宋体" w:hAnsi="Calibri" w:cs="宋体" w:hint="eastAsia"/>
          <w:color w:val="000000" w:themeColor="text1"/>
          <w:kern w:val="0"/>
          <w:sz w:val="24"/>
          <w:szCs w:val="24"/>
        </w:rPr>
        <w:t>收集固废前，先在收集纸箱或编织袋贴上《实验室化学固体废物清单》。</w:t>
      </w:r>
    </w:p>
    <w:p w:rsidR="00AB53CA" w:rsidRPr="004D3396" w:rsidRDefault="00AB53CA" w:rsidP="004D3396">
      <w:pPr>
        <w:widowControl/>
        <w:ind w:left="720" w:hanging="36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2</w:t>
      </w:r>
      <w:r w:rsidRPr="004D3396">
        <w:rPr>
          <w:rFonts w:ascii="微软雅黑" w:eastAsia="微软雅黑" w:hAnsi="微软雅黑" w:cs="微软雅黑" w:hint="eastAsia"/>
          <w:color w:val="000000" w:themeColor="text1"/>
          <w:kern w:val="0"/>
          <w:sz w:val="24"/>
          <w:szCs w:val="24"/>
        </w:rPr>
        <w:t>）</w:t>
      </w:r>
      <w:r w:rsidRPr="004D3396">
        <w:rPr>
          <w:rFonts w:ascii="Calibri" w:eastAsia="宋体" w:hAnsi="Calibri" w:cs="宋体" w:hint="eastAsia"/>
          <w:color w:val="000000" w:themeColor="text1"/>
          <w:kern w:val="0"/>
          <w:sz w:val="24"/>
          <w:szCs w:val="24"/>
        </w:rPr>
        <w:t>按要求填写产生固废的实验房间、联系人及其联系电话。</w:t>
      </w:r>
    </w:p>
    <w:p w:rsidR="00AB53CA" w:rsidRPr="004D3396" w:rsidRDefault="00052EEC" w:rsidP="00052EEC">
      <w:pPr>
        <w:widowControl/>
        <w:contextualSpacing/>
        <w:rPr>
          <w:rFonts w:ascii="宋体" w:eastAsia="宋体" w:hAnsi="宋体" w:cs="宋体"/>
          <w:color w:val="000000" w:themeColor="text1"/>
          <w:kern w:val="0"/>
          <w:sz w:val="24"/>
          <w:szCs w:val="24"/>
        </w:rPr>
      </w:pPr>
      <w:r>
        <w:rPr>
          <w:rFonts w:ascii="Calibri" w:eastAsia="Calibri" w:hAnsi="Calibri" w:cs="Calibri"/>
          <w:b/>
          <w:color w:val="000000" w:themeColor="text1"/>
          <w:kern w:val="0"/>
          <w:sz w:val="24"/>
          <w:szCs w:val="24"/>
        </w:rPr>
        <w:t>3</w:t>
      </w:r>
      <w:r>
        <w:rPr>
          <w:rFonts w:ascii="Calibri" w:hAnsi="Calibri" w:cs="Calibri" w:hint="eastAsia"/>
          <w:b/>
          <w:color w:val="000000" w:themeColor="text1"/>
          <w:kern w:val="0"/>
          <w:sz w:val="24"/>
          <w:szCs w:val="24"/>
        </w:rPr>
        <w:t>、</w:t>
      </w:r>
      <w:r w:rsidR="00AB53CA" w:rsidRPr="004D3396">
        <w:rPr>
          <w:rFonts w:ascii="Times New Roman" w:eastAsia="Calibri" w:hAnsi="Times New Roman" w:cs="Times New Roman"/>
          <w:b/>
          <w:color w:val="000000" w:themeColor="text1"/>
          <w:kern w:val="0"/>
          <w:sz w:val="24"/>
          <w:szCs w:val="24"/>
        </w:rPr>
        <w:t xml:space="preserve"> </w:t>
      </w:r>
      <w:r w:rsidR="00AB53CA" w:rsidRPr="004D3396">
        <w:rPr>
          <w:rFonts w:ascii="Calibri" w:eastAsia="宋体" w:hAnsi="Calibri" w:cs="宋体" w:hint="eastAsia"/>
          <w:b/>
          <w:color w:val="000000" w:themeColor="text1"/>
          <w:kern w:val="0"/>
          <w:sz w:val="24"/>
          <w:szCs w:val="24"/>
        </w:rPr>
        <w:t>固废的收集</w:t>
      </w:r>
    </w:p>
    <w:p w:rsidR="00AB53CA" w:rsidRPr="004D3396" w:rsidRDefault="00AB53CA" w:rsidP="004D3396">
      <w:pPr>
        <w:widowControl/>
        <w:ind w:left="851" w:hanging="501"/>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1</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分类收集：</w:t>
      </w:r>
    </w:p>
    <w:p w:rsidR="00AB53CA" w:rsidRPr="004D3396" w:rsidRDefault="00AB53CA" w:rsidP="004D3396">
      <w:pPr>
        <w:widowControl/>
        <w:ind w:left="1271" w:hanging="42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A.</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瓶装化学品和空瓶：确保瓶体上标签完好，原标签破损的须补上标签，瓶盖旋紧后竖直整齐放入纸箱；瓶装化学品、空瓶须分别装箱收集；</w:t>
      </w:r>
    </w:p>
    <w:p w:rsidR="00AB53CA" w:rsidRPr="004D3396" w:rsidRDefault="00AB53CA" w:rsidP="004D3396">
      <w:pPr>
        <w:widowControl/>
        <w:ind w:left="1271" w:hanging="42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B.</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其他化学品和化学固废：用塑料袋分装并扎好袋口，在塑料袋上贴上标签并写上固废名称和成份，袋口朝上放入纸箱或编织袋内；</w:t>
      </w:r>
    </w:p>
    <w:p w:rsidR="00AB53CA" w:rsidRPr="004D3396" w:rsidRDefault="00AB53CA" w:rsidP="004D3396">
      <w:pPr>
        <w:widowControl/>
        <w:ind w:left="1271" w:hanging="42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C.</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玻璃器皿：放入纸箱内；</w:t>
      </w:r>
    </w:p>
    <w:p w:rsidR="00AB53CA" w:rsidRPr="004D3396" w:rsidRDefault="00AB53CA" w:rsidP="004D3396">
      <w:pPr>
        <w:widowControl/>
        <w:ind w:left="1271" w:hanging="420"/>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D.</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以上三类不能混放。</w:t>
      </w:r>
    </w:p>
    <w:p w:rsidR="00AB53CA" w:rsidRPr="004D3396" w:rsidRDefault="00AB53CA" w:rsidP="004D3396">
      <w:pPr>
        <w:widowControl/>
        <w:ind w:left="851" w:hanging="501"/>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2</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作好记录：按要求在《实验室化学固体废物清单》上做相应记录。</w:t>
      </w:r>
    </w:p>
    <w:p w:rsidR="00AB53CA" w:rsidRPr="004D3396" w:rsidRDefault="00AB53CA" w:rsidP="004D3396">
      <w:pPr>
        <w:widowControl/>
        <w:ind w:left="851" w:hanging="501"/>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3</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停止收集：以纸箱和编织袋能密封为限，瓶装化学品和空瓶不能叠放，每袋或每箱重量不能超过</w:t>
      </w:r>
      <w:r w:rsidRPr="004D3396">
        <w:rPr>
          <w:rFonts w:ascii="Calibri" w:eastAsia="宋体" w:hAnsi="Calibri" w:cs="Calibri"/>
          <w:color w:val="000000" w:themeColor="text1"/>
          <w:kern w:val="0"/>
          <w:sz w:val="24"/>
          <w:szCs w:val="24"/>
        </w:rPr>
        <w:t>50</w:t>
      </w:r>
      <w:r w:rsidRPr="004D3396">
        <w:rPr>
          <w:rFonts w:ascii="Calibri" w:eastAsia="宋体" w:hAnsi="Calibri" w:cs="宋体" w:hint="eastAsia"/>
          <w:color w:val="000000" w:themeColor="text1"/>
          <w:kern w:val="0"/>
          <w:sz w:val="24"/>
          <w:szCs w:val="24"/>
        </w:rPr>
        <w:t>公斤。</w:t>
      </w:r>
    </w:p>
    <w:p w:rsidR="00AB53CA" w:rsidRPr="004D3396" w:rsidRDefault="00052EEC" w:rsidP="004D3396">
      <w:pPr>
        <w:widowControl/>
        <w:ind w:left="567" w:hanging="567"/>
        <w:contextualSpacing/>
        <w:rPr>
          <w:rFonts w:ascii="宋体" w:eastAsia="宋体" w:hAnsi="宋体" w:cs="宋体"/>
          <w:color w:val="000000" w:themeColor="text1"/>
          <w:kern w:val="0"/>
          <w:sz w:val="24"/>
          <w:szCs w:val="24"/>
        </w:rPr>
      </w:pPr>
      <w:r>
        <w:rPr>
          <w:rFonts w:ascii="Calibri" w:eastAsia="宋体" w:hAnsi="Calibri" w:cs="宋体" w:hint="eastAsia"/>
          <w:b/>
          <w:color w:val="000000" w:themeColor="text1"/>
          <w:kern w:val="0"/>
          <w:sz w:val="24"/>
          <w:szCs w:val="24"/>
        </w:rPr>
        <w:t>4</w:t>
      </w:r>
      <w:r>
        <w:rPr>
          <w:rFonts w:ascii="Calibri" w:eastAsia="宋体" w:hAnsi="Calibri" w:cs="宋体" w:hint="eastAsia"/>
          <w:b/>
          <w:color w:val="000000" w:themeColor="text1"/>
          <w:kern w:val="0"/>
          <w:sz w:val="24"/>
          <w:szCs w:val="24"/>
        </w:rPr>
        <w:t>、</w:t>
      </w:r>
      <w:r w:rsidR="00AB53CA" w:rsidRPr="004D3396">
        <w:rPr>
          <w:rFonts w:ascii="Calibri" w:eastAsia="宋体" w:hAnsi="Calibri" w:cs="宋体" w:hint="eastAsia"/>
          <w:b/>
          <w:color w:val="000000" w:themeColor="text1"/>
          <w:kern w:val="0"/>
          <w:sz w:val="24"/>
          <w:szCs w:val="24"/>
        </w:rPr>
        <w:t>固废的存放</w:t>
      </w:r>
    </w:p>
    <w:p w:rsidR="00AB53CA" w:rsidRPr="004D3396" w:rsidRDefault="00AB53CA" w:rsidP="004D3396">
      <w:pPr>
        <w:widowControl/>
        <w:ind w:leftChars="135" w:left="850" w:hanging="567"/>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1</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固废收集满后，须在学院实验室废物处置联系人处登记相关的废物信息。</w:t>
      </w:r>
    </w:p>
    <w:p w:rsidR="00AB53CA" w:rsidRPr="004D3396" w:rsidRDefault="00AB53CA" w:rsidP="004D3396">
      <w:pPr>
        <w:widowControl/>
        <w:tabs>
          <w:tab w:val="left" w:pos="851"/>
        </w:tabs>
        <w:ind w:firstLine="284"/>
        <w:contextualSpacing/>
        <w:rPr>
          <w:rFonts w:ascii="宋体" w:eastAsia="宋体" w:hAnsi="宋体" w:cs="宋体"/>
          <w:color w:val="000000" w:themeColor="text1"/>
          <w:kern w:val="0"/>
          <w:sz w:val="24"/>
          <w:szCs w:val="24"/>
        </w:rPr>
      </w:pPr>
      <w:r w:rsidRPr="004D3396">
        <w:rPr>
          <w:rFonts w:ascii="Calibri" w:eastAsia="Calibri" w:hAnsi="Calibri" w:cs="Calibri"/>
          <w:color w:val="000000" w:themeColor="text1"/>
          <w:kern w:val="0"/>
          <w:sz w:val="24"/>
          <w:szCs w:val="24"/>
        </w:rPr>
        <w:t>2</w:t>
      </w:r>
      <w:r w:rsidRPr="004D3396">
        <w:rPr>
          <w:rFonts w:ascii="微软雅黑" w:eastAsia="微软雅黑" w:hAnsi="微软雅黑" w:cs="微软雅黑" w:hint="eastAsia"/>
          <w:color w:val="000000" w:themeColor="text1"/>
          <w:kern w:val="0"/>
          <w:sz w:val="24"/>
          <w:szCs w:val="24"/>
        </w:rPr>
        <w:t>）</w:t>
      </w:r>
      <w:r w:rsidRPr="004D3396">
        <w:rPr>
          <w:rFonts w:ascii="Times New Roman" w:eastAsia="Calibri" w:hAnsi="Times New Roman" w:cs="Times New Roman"/>
          <w:color w:val="000000" w:themeColor="text1"/>
          <w:kern w:val="0"/>
          <w:sz w:val="24"/>
          <w:szCs w:val="24"/>
        </w:rPr>
        <w:t xml:space="preserve">       </w:t>
      </w:r>
      <w:r w:rsidRPr="004D3396">
        <w:rPr>
          <w:rFonts w:ascii="Calibri" w:eastAsia="宋体" w:hAnsi="Calibri" w:cs="宋体" w:hint="eastAsia"/>
          <w:color w:val="000000" w:themeColor="text1"/>
          <w:kern w:val="0"/>
          <w:sz w:val="24"/>
          <w:szCs w:val="24"/>
        </w:rPr>
        <w:t>必须存放在学院指定位置，严禁把固废存放在非工作人员易接触到的地方。</w:t>
      </w:r>
    </w:p>
    <w:p w:rsidR="00AB53CA" w:rsidRPr="004D3396" w:rsidRDefault="00052EEC" w:rsidP="004D3396">
      <w:pPr>
        <w:widowControl/>
        <w:ind w:left="567" w:hanging="567"/>
        <w:contextualSpacing/>
        <w:rPr>
          <w:rFonts w:ascii="宋体" w:eastAsia="宋体" w:hAnsi="宋体" w:cs="宋体"/>
          <w:color w:val="000000" w:themeColor="text1"/>
          <w:kern w:val="0"/>
          <w:sz w:val="24"/>
          <w:szCs w:val="24"/>
        </w:rPr>
      </w:pPr>
      <w:r>
        <w:rPr>
          <w:rFonts w:ascii="Calibri" w:eastAsia="Calibri" w:hAnsi="Calibri" w:cs="Calibri"/>
          <w:b/>
          <w:color w:val="000000" w:themeColor="text1"/>
          <w:kern w:val="0"/>
          <w:sz w:val="24"/>
          <w:szCs w:val="24"/>
        </w:rPr>
        <w:t>5</w:t>
      </w:r>
      <w:r>
        <w:rPr>
          <w:rFonts w:ascii="Calibri" w:hAnsi="Calibri" w:cs="Calibri" w:hint="eastAsia"/>
          <w:b/>
          <w:color w:val="000000" w:themeColor="text1"/>
          <w:kern w:val="0"/>
          <w:sz w:val="24"/>
          <w:szCs w:val="24"/>
        </w:rPr>
        <w:t>、</w:t>
      </w:r>
      <w:r w:rsidR="00AB53CA" w:rsidRPr="004D3396">
        <w:rPr>
          <w:rFonts w:ascii="Times New Roman" w:eastAsia="Calibri" w:hAnsi="Times New Roman" w:cs="Times New Roman"/>
          <w:b/>
          <w:color w:val="000000" w:themeColor="text1"/>
          <w:kern w:val="0"/>
          <w:sz w:val="24"/>
          <w:szCs w:val="24"/>
        </w:rPr>
        <w:t xml:space="preserve"> </w:t>
      </w:r>
      <w:r w:rsidR="00AB53CA" w:rsidRPr="004D3396">
        <w:rPr>
          <w:rFonts w:ascii="Calibri" w:eastAsia="宋体" w:hAnsi="Calibri" w:cs="宋体" w:hint="eastAsia"/>
          <w:b/>
          <w:color w:val="000000" w:themeColor="text1"/>
          <w:kern w:val="0"/>
          <w:sz w:val="24"/>
          <w:szCs w:val="24"/>
        </w:rPr>
        <w:t>固废的处置</w:t>
      </w:r>
    </w:p>
    <w:p w:rsidR="00AB53CA" w:rsidRPr="004D3396" w:rsidRDefault="00AB53CA" w:rsidP="004D3396">
      <w:pPr>
        <w:widowControl/>
        <w:ind w:leftChars="166" w:left="423" w:hangingChars="31" w:hanging="74"/>
        <w:contextualSpacing/>
        <w:rPr>
          <w:rFonts w:ascii="宋体" w:eastAsia="宋体" w:hAnsi="宋体" w:cs="宋体"/>
          <w:color w:val="000000" w:themeColor="text1"/>
          <w:kern w:val="0"/>
          <w:sz w:val="24"/>
          <w:szCs w:val="24"/>
        </w:rPr>
      </w:pPr>
      <w:r w:rsidRPr="004D3396">
        <w:rPr>
          <w:rFonts w:ascii="Calibri" w:eastAsia="宋体" w:hAnsi="Calibri" w:cs="宋体" w:hint="eastAsia"/>
          <w:color w:val="000000" w:themeColor="text1"/>
          <w:kern w:val="0"/>
          <w:sz w:val="24"/>
          <w:szCs w:val="24"/>
        </w:rPr>
        <w:t>按照学校的统一部署和废弃物处置公司的要求进行固废的转运、记录和交接。</w:t>
      </w:r>
    </w:p>
    <w:p w:rsidR="00AB53CA" w:rsidRPr="004D3396" w:rsidRDefault="00052EEC" w:rsidP="004D3396">
      <w:pPr>
        <w:widowControl/>
        <w:ind w:left="567" w:hanging="567"/>
        <w:contextualSpacing/>
        <w:rPr>
          <w:rFonts w:ascii="宋体" w:eastAsia="宋体" w:hAnsi="宋体" w:cs="宋体"/>
          <w:color w:val="000000" w:themeColor="text1"/>
          <w:kern w:val="0"/>
          <w:sz w:val="24"/>
          <w:szCs w:val="24"/>
        </w:rPr>
      </w:pPr>
      <w:r>
        <w:rPr>
          <w:rFonts w:ascii="Calibri" w:eastAsia="Calibri" w:hAnsi="Calibri" w:cs="Calibri"/>
          <w:b/>
          <w:color w:val="000000" w:themeColor="text1"/>
          <w:kern w:val="0"/>
          <w:sz w:val="24"/>
          <w:szCs w:val="24"/>
        </w:rPr>
        <w:t>6</w:t>
      </w:r>
      <w:r>
        <w:rPr>
          <w:rFonts w:ascii="Calibri" w:hAnsi="Calibri" w:cs="Calibri" w:hint="eastAsia"/>
          <w:b/>
          <w:color w:val="000000" w:themeColor="text1"/>
          <w:kern w:val="0"/>
          <w:sz w:val="24"/>
          <w:szCs w:val="24"/>
        </w:rPr>
        <w:t>、</w:t>
      </w:r>
      <w:bookmarkStart w:id="0" w:name="_GoBack"/>
      <w:bookmarkEnd w:id="0"/>
      <w:r w:rsidR="00AB53CA" w:rsidRPr="004D3396">
        <w:rPr>
          <w:rFonts w:ascii="Times New Roman" w:eastAsia="Calibri" w:hAnsi="Times New Roman" w:cs="Times New Roman"/>
          <w:b/>
          <w:color w:val="000000" w:themeColor="text1"/>
          <w:kern w:val="0"/>
          <w:sz w:val="24"/>
          <w:szCs w:val="24"/>
        </w:rPr>
        <w:t xml:space="preserve"> </w:t>
      </w:r>
      <w:r w:rsidR="00AB53CA" w:rsidRPr="004D3396">
        <w:rPr>
          <w:rFonts w:ascii="Calibri" w:eastAsia="宋体" w:hAnsi="Calibri" w:cs="宋体" w:hint="eastAsia"/>
          <w:b/>
          <w:color w:val="000000" w:themeColor="text1"/>
          <w:kern w:val="0"/>
          <w:sz w:val="24"/>
          <w:szCs w:val="24"/>
        </w:rPr>
        <w:t>其它注意事项</w:t>
      </w:r>
    </w:p>
    <w:p w:rsidR="00AB53CA" w:rsidRPr="004D3396" w:rsidRDefault="00AB53CA" w:rsidP="004D3396">
      <w:pPr>
        <w:widowControl/>
        <w:ind w:firstLineChars="150" w:firstLine="361"/>
        <w:contextualSpacing/>
        <w:rPr>
          <w:rFonts w:ascii="宋体" w:eastAsia="宋体" w:hAnsi="宋体" w:cs="宋体"/>
          <w:color w:val="000000" w:themeColor="text1"/>
          <w:kern w:val="0"/>
          <w:sz w:val="24"/>
          <w:szCs w:val="24"/>
        </w:rPr>
      </w:pPr>
      <w:r w:rsidRPr="004D3396">
        <w:rPr>
          <w:rFonts w:ascii="Calibri" w:eastAsia="宋体" w:hAnsi="Calibri" w:cs="宋体" w:hint="eastAsia"/>
          <w:b/>
          <w:color w:val="000000" w:themeColor="text1"/>
          <w:kern w:val="0"/>
          <w:sz w:val="24"/>
          <w:szCs w:val="24"/>
        </w:rPr>
        <w:t>剧毒、可易燃、强腐蚀性</w:t>
      </w:r>
      <w:r w:rsidRPr="004D3396">
        <w:rPr>
          <w:rFonts w:ascii="Calibri" w:eastAsia="宋体" w:hAnsi="Calibri" w:cs="宋体" w:hint="eastAsia"/>
          <w:color w:val="000000" w:themeColor="text1"/>
          <w:kern w:val="0"/>
          <w:sz w:val="24"/>
          <w:szCs w:val="24"/>
        </w:rPr>
        <w:t>或有其它特殊问题的化学固废必须贴上相应的标志，且单独存放；对来源和组成不明的废弃化学品也应贴上标志后单独存放；其它类别的实验室危险废物处理按照《重庆大学实验室废弃物管理办法》（重大校</w:t>
      </w:r>
      <w:r w:rsidRPr="004D3396">
        <w:rPr>
          <w:rFonts w:ascii="Calibri" w:eastAsia="宋体" w:hAnsi="Calibri" w:cs="Calibri"/>
          <w:color w:val="000000" w:themeColor="text1"/>
          <w:kern w:val="0"/>
          <w:sz w:val="24"/>
          <w:szCs w:val="24"/>
        </w:rPr>
        <w:t>[2012]392</w:t>
      </w:r>
      <w:r w:rsidRPr="004D3396">
        <w:rPr>
          <w:rFonts w:ascii="Calibri" w:eastAsia="宋体" w:hAnsi="Calibri" w:cs="宋体" w:hint="eastAsia"/>
          <w:color w:val="000000" w:themeColor="text1"/>
          <w:kern w:val="0"/>
          <w:sz w:val="24"/>
          <w:szCs w:val="24"/>
        </w:rPr>
        <w:t>号）第十二条执行。</w:t>
      </w:r>
    </w:p>
    <w:p w:rsidR="00A010EE" w:rsidRPr="004D3396" w:rsidRDefault="00A010EE" w:rsidP="004D3396">
      <w:pPr>
        <w:contextualSpacing/>
        <w:rPr>
          <w:color w:val="000000" w:themeColor="text1"/>
          <w:sz w:val="24"/>
          <w:szCs w:val="24"/>
        </w:rPr>
      </w:pPr>
    </w:p>
    <w:sectPr w:rsidR="00A010EE" w:rsidRPr="004D3396" w:rsidSect="004D339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CF" w:rsidRDefault="006306CF" w:rsidP="004D3396">
      <w:r>
        <w:separator/>
      </w:r>
    </w:p>
  </w:endnote>
  <w:endnote w:type="continuationSeparator" w:id="0">
    <w:p w:rsidR="006306CF" w:rsidRDefault="006306CF" w:rsidP="004D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CF" w:rsidRDefault="006306CF" w:rsidP="004D3396">
      <w:r>
        <w:separator/>
      </w:r>
    </w:p>
  </w:footnote>
  <w:footnote w:type="continuationSeparator" w:id="0">
    <w:p w:rsidR="006306CF" w:rsidRDefault="006306CF" w:rsidP="004D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52EEC"/>
    <w:rsid w:val="004D3396"/>
    <w:rsid w:val="006306CF"/>
    <w:rsid w:val="00A010EE"/>
    <w:rsid w:val="00AB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CA8F43-08D1-4834-9C3B-8ED2BE2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396"/>
    <w:rPr>
      <w:sz w:val="18"/>
      <w:szCs w:val="18"/>
    </w:rPr>
  </w:style>
  <w:style w:type="paragraph" w:styleId="a4">
    <w:name w:val="footer"/>
    <w:basedOn w:val="a"/>
    <w:link w:val="Char0"/>
    <w:uiPriority w:val="99"/>
    <w:unhideWhenUsed/>
    <w:rsid w:val="004D3396"/>
    <w:pPr>
      <w:tabs>
        <w:tab w:val="center" w:pos="4153"/>
        <w:tab w:val="right" w:pos="8306"/>
      </w:tabs>
      <w:snapToGrid w:val="0"/>
      <w:jc w:val="left"/>
    </w:pPr>
    <w:rPr>
      <w:sz w:val="18"/>
      <w:szCs w:val="18"/>
    </w:rPr>
  </w:style>
  <w:style w:type="character" w:customStyle="1" w:styleId="Char0">
    <w:name w:val="页脚 Char"/>
    <w:basedOn w:val="a0"/>
    <w:link w:val="a4"/>
    <w:uiPriority w:val="99"/>
    <w:rsid w:val="004D33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62954">
      <w:bodyDiv w:val="1"/>
      <w:marLeft w:val="0"/>
      <w:marRight w:val="0"/>
      <w:marTop w:val="0"/>
      <w:marBottom w:val="0"/>
      <w:divBdr>
        <w:top w:val="none" w:sz="0" w:space="0" w:color="auto"/>
        <w:left w:val="none" w:sz="0" w:space="0" w:color="auto"/>
        <w:bottom w:val="none" w:sz="0" w:space="0" w:color="auto"/>
        <w:right w:val="none" w:sz="0" w:space="0" w:color="auto"/>
      </w:divBdr>
      <w:divsChild>
        <w:div w:id="553591061">
          <w:marLeft w:val="0"/>
          <w:marRight w:val="0"/>
          <w:marTop w:val="0"/>
          <w:marBottom w:val="0"/>
          <w:divBdr>
            <w:top w:val="none" w:sz="0" w:space="0" w:color="auto"/>
            <w:left w:val="none" w:sz="0" w:space="0" w:color="auto"/>
            <w:bottom w:val="none" w:sz="0" w:space="0" w:color="auto"/>
            <w:right w:val="none" w:sz="0" w:space="0" w:color="auto"/>
          </w:divBdr>
          <w:divsChild>
            <w:div w:id="617106581">
              <w:marLeft w:val="0"/>
              <w:marRight w:val="0"/>
              <w:marTop w:val="0"/>
              <w:marBottom w:val="0"/>
              <w:divBdr>
                <w:top w:val="none" w:sz="0" w:space="0" w:color="auto"/>
                <w:left w:val="none" w:sz="0" w:space="0" w:color="auto"/>
                <w:bottom w:val="none" w:sz="0" w:space="0" w:color="auto"/>
                <w:right w:val="none" w:sz="0" w:space="0" w:color="auto"/>
              </w:divBdr>
              <w:divsChild>
                <w:div w:id="1728802421">
                  <w:marLeft w:val="0"/>
                  <w:marRight w:val="0"/>
                  <w:marTop w:val="0"/>
                  <w:marBottom w:val="0"/>
                  <w:divBdr>
                    <w:top w:val="none" w:sz="0" w:space="0" w:color="auto"/>
                    <w:left w:val="none" w:sz="0" w:space="0" w:color="auto"/>
                    <w:bottom w:val="none" w:sz="0" w:space="0" w:color="auto"/>
                    <w:right w:val="none" w:sz="0" w:space="0" w:color="auto"/>
                  </w:divBdr>
                  <w:divsChild>
                    <w:div w:id="1830712824">
                      <w:marLeft w:val="0"/>
                      <w:marRight w:val="0"/>
                      <w:marTop w:val="0"/>
                      <w:marBottom w:val="0"/>
                      <w:divBdr>
                        <w:top w:val="none" w:sz="0" w:space="0" w:color="auto"/>
                        <w:left w:val="none" w:sz="0" w:space="0" w:color="auto"/>
                        <w:bottom w:val="none" w:sz="0" w:space="0" w:color="auto"/>
                        <w:right w:val="none" w:sz="0" w:space="0" w:color="auto"/>
                      </w:divBdr>
                      <w:divsChild>
                        <w:div w:id="1053966955">
                          <w:marLeft w:val="0"/>
                          <w:marRight w:val="0"/>
                          <w:marTop w:val="0"/>
                          <w:marBottom w:val="0"/>
                          <w:divBdr>
                            <w:top w:val="none" w:sz="0" w:space="0" w:color="auto"/>
                            <w:left w:val="none" w:sz="0" w:space="0" w:color="auto"/>
                            <w:bottom w:val="none" w:sz="0" w:space="0" w:color="auto"/>
                            <w:right w:val="none" w:sz="0" w:space="0" w:color="auto"/>
                          </w:divBdr>
                          <w:divsChild>
                            <w:div w:id="2121028555">
                              <w:marLeft w:val="0"/>
                              <w:marRight w:val="0"/>
                              <w:marTop w:val="0"/>
                              <w:marBottom w:val="75"/>
                              <w:divBdr>
                                <w:top w:val="none" w:sz="0" w:space="0" w:color="auto"/>
                                <w:left w:val="none" w:sz="0" w:space="0" w:color="auto"/>
                                <w:bottom w:val="none" w:sz="0" w:space="0" w:color="auto"/>
                                <w:right w:val="none" w:sz="0" w:space="0" w:color="auto"/>
                              </w:divBdr>
                            </w:div>
                          </w:divsChild>
                        </w:div>
                        <w:div w:id="1051883348">
                          <w:marLeft w:val="0"/>
                          <w:marRight w:val="0"/>
                          <w:marTop w:val="0"/>
                          <w:marBottom w:val="0"/>
                          <w:divBdr>
                            <w:top w:val="none" w:sz="0" w:space="0" w:color="auto"/>
                            <w:left w:val="none" w:sz="0" w:space="0" w:color="auto"/>
                            <w:bottom w:val="none" w:sz="0" w:space="0" w:color="auto"/>
                            <w:right w:val="none" w:sz="0" w:space="0" w:color="auto"/>
                          </w:divBdr>
                          <w:divsChild>
                            <w:div w:id="25757881">
                              <w:marLeft w:val="0"/>
                              <w:marRight w:val="0"/>
                              <w:marTop w:val="0"/>
                              <w:marBottom w:val="0"/>
                              <w:divBdr>
                                <w:top w:val="none" w:sz="0" w:space="0" w:color="auto"/>
                                <w:left w:val="none" w:sz="0" w:space="0" w:color="auto"/>
                                <w:bottom w:val="none" w:sz="0" w:space="0" w:color="auto"/>
                                <w:right w:val="none" w:sz="0" w:space="0" w:color="auto"/>
                              </w:divBdr>
                              <w:divsChild>
                                <w:div w:id="4229210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Company>Windows7-64 旗舰版</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2015-12-20T04:30:00Z</dcterms:created>
  <dcterms:modified xsi:type="dcterms:W3CDTF">2015-12-20T09:26:00Z</dcterms:modified>
</cp:coreProperties>
</file>